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2018年度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河南省高层次人才特殊支持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eastAsia="zh-CN"/>
        </w:rPr>
        <w:t>“中原千人计划”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  <w:lang w:val="en-US" w:eastAsia="zh-CN"/>
        </w:rPr>
        <w:t>-</w:t>
      </w:r>
      <w:r>
        <w:rPr>
          <w:rFonts w:hint="eastAsia" w:ascii="方正小标宋简体" w:hAnsi="方正小标宋简体" w:eastAsia="方正小标宋简体" w:cs="方正小标宋简体"/>
          <w:spacing w:val="-20"/>
          <w:sz w:val="44"/>
          <w:szCs w:val="44"/>
        </w:rPr>
        <w:t>“中原青年拔尖人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注册密码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 xml:space="preserve">                </w:t>
      </w:r>
    </w:p>
    <w:p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备注：</w:t>
      </w:r>
    </w:p>
    <w:p>
      <w:pPr>
        <w:ind w:firstLine="960" w:firstLineChars="3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1.推荐渠道向省科协组织部索取平台登录账号和密码，登录后台，点击账号安全，获取申报注册密码；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  2.推荐单位确定要推荐的候选人之后，向推荐渠道索取注册密码。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E25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2018-04-26T02:05:19Z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